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3/28/17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Focus o</w:t>
      </w:r>
      <w:r w:rsidDel="00000000" w:rsidR="00000000" w:rsidRPr="00000000">
        <w:rPr>
          <w:rtl w:val="0"/>
        </w:rPr>
        <w:t xml:space="preserve">n Forensic Psychology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Dr. </w:t>
      </w:r>
      <w:r w:rsidDel="00000000" w:rsidR="00000000" w:rsidRPr="00000000">
        <w:rPr>
          <w:highlight w:val="white"/>
          <w:rtl w:val="0"/>
        </w:rPr>
        <w:t xml:space="preserve">Mario Scalora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Psych Department Awards Ceremony/Psi Chi Induction is on Monday, April 10th, at 3:30-5 in the Union Heritage Room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Dr. Mario Scalora’s Journey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Does both practice and research, which is rare unless you work in a medical setting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“If you don’t like law, don’t go into forensic psychology” forensic psychology= intersection of psychology and law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worked in animal research labs, but stopped because he was allergic to rats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Attended UNL’s forensic psychology program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Note- admission rates are very competitive for graduate programs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After his 4 years of grad school, he did an internship for a year in Oklahoma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first worked with youth, but then switched to the adult side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Note-You have to understand you will hear horrifying things in this area, and you will have to learn how to separate your emotions from what needs to be done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Did post-doc work at University of Massachusetts Medical Center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does most of his work on the criminal and risk assessment side of forensic psychology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Example-what kind of risk to the community does a person pose when they leave treatment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deals with higher risk and higher liability cases than many of his colleagues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His clients most likely do not want and do not value his service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has been assaulted 3 times, and has had 2 colleagues that have been murdered, and has had his life threatened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has limited social media, and is not on his children’s social media to protect them from harm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This is what you have to be prepared for if you plan to work in this field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If you want to be successful, it’s more beneficial to go into the field with a wide range of training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“I have to approach life like a lawyer is always second guessing me, because they are”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Graduate School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Things to consider when applying: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Forensic psychologists are not profilers. They can, however, help profilers understand the mental health problems related to the situation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Most programs are pushing you to learn research and clinical work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Read the program’s website to see if you are actually a good fit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You aren’t just applying to the program, you are applying for a mentorship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Dr. Scalora has turned down many promising individuals just because they do not fit his program well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You have to understand the odds are low of getting into graduate programs, and you need to prepare yourself for this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Everyone gets good grades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Highlight what shows you are a good fit and a good investment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Questions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Did threats bother you when you started?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It always bothers him, but you can’t show fear to clients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 you ever talk to witnesses, and is there anything specific you ask them?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Yes, sometimes, but usually it’s cops or other people. But if I do, I ask about behaviors and observations.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specific area do you work with?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 work with a wide array of things, more now with workplace violence and counter terrorism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has the field changed since you started working?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 lot of stuff is the same, but now you see a lot more social media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Also, a lot of people trying to copy-cat or mimic crimes, because they can get a lot of information about these things online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 you do much with historical archives?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Most of that has to do with profilers, but I will do some archival research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 you do just prosecution, or do you also do defense work?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 do 50/50; it’s important to be balanced, but who hires you can influence your work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Is the work you do right now only for Nebraska area?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 fly all over the place; also use video-conferencing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Some data and conferences are international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does working in a hospital compare to a prison?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Prisons have been some of the safest places I’ve worked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Don’t watch tv to see how prisons and hospitals are, because they aren’t accurate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His colleagues that have been murdered were in state hospitals, but these places can still be very safe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environments and rules are very different; hospital is more mentally ill, but there are still some in jail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Both are very structured and secure places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specifics do you look for when taking in grad students?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Good grades, good/decent scores, good letters, good fit, prior research experience, good personal statement-run through professors, it's not just if you write well, it's what you write in it, know why you want to work with him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He gets many people asking to meet with him, and he can’t meet with everyone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Visiting a place before hand doesn’t necessarily help you, it can actually hurt you (it can be annoying for him) so just do your own research to learn about him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Few faculty have time to help you figure out what you want to do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/>
        <w:spacing w:after="0" w:before="0" w:line="276" w:lineRule="auto"/>
        <w:ind w:left="216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Use the faculty that you do know, don’t approach those that you don’t know for advice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kind of settings do your students tend to work in?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Academia, prisons, state hospitals, medical centers, all over the place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*Good question to ask when researching programs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Are you ever on call?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Yes, I don’t do crime scenes but I may have cops calling me, depending on what you are working with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Is every case a huge commitment, or do you ever answer just with advice?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Sometimes they can be just quick answers, but other times not. Again just depends on the situation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Are you typically at work, or is it more flexible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 can be pretty flexible, but some people don’t manage time well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Since I am an academic as well that adds to the load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Sometimes things need to be acted on immediately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Sometimes I take my work home; but this can be physically AND mentally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Is your job every challenged by bureaucracies?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Always, all big organizations are bureaucracies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This is for all employees of big organizations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can you tell if you are able to handle this job?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There isn’t an easy answer. Look at your life and how you handle situations and what bothers you. Everyone is unique in that regard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Can’t be easily offended, have to handle ambiguity, not everything will be black and white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